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178" w:rsidRDefault="00022254">
      <w:pPr>
        <w:spacing w:after="16"/>
      </w:pPr>
      <w:r>
        <w:rPr>
          <w:rFonts w:ascii="DejaVu Serif" w:eastAsia="DejaVu Serif" w:hAnsi="DejaVu Serif" w:cs="DejaVu Serif"/>
          <w:b/>
        </w:rPr>
        <w:t>Platforma sprawozdawcza POP województwa zachodniopomorskiego</w:t>
      </w:r>
    </w:p>
    <w:p w:rsidR="00022178" w:rsidRDefault="00022254">
      <w:pPr>
        <w:spacing w:after="508"/>
      </w:pPr>
      <w:r>
        <w:rPr>
          <w:rFonts w:ascii="DejaVu Serif" w:eastAsia="DejaVu Serif" w:hAnsi="DejaVu Serif" w:cs="DejaVu Serif"/>
        </w:rPr>
        <w:t>Sprawozdanie końcowe za lata 2020-2023</w:t>
      </w:r>
    </w:p>
    <w:p w:rsidR="00022178" w:rsidRDefault="00022254">
      <w:pPr>
        <w:spacing w:after="0"/>
      </w:pPr>
      <w:r>
        <w:rPr>
          <w:rFonts w:ascii="DejaVu Sans" w:eastAsia="DejaVu Sans" w:hAnsi="DejaVu Sans" w:cs="DejaVu Sans"/>
        </w:rPr>
        <w:t>Program ochrony powietrza wraz z planem działań krótkoterminowych dla strefy zachodniopomorskiej</w:t>
      </w:r>
    </w:p>
    <w:tbl>
      <w:tblPr>
        <w:tblStyle w:val="TableGrid"/>
        <w:tblW w:w="14442" w:type="dxa"/>
        <w:tblInd w:w="5" w:type="dxa"/>
        <w:tblLayout w:type="fixed"/>
        <w:tblCellMar>
          <w:top w:w="75" w:type="dxa"/>
          <w:left w:w="56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11907"/>
        <w:gridCol w:w="135"/>
      </w:tblGrid>
      <w:tr w:rsidR="00022178" w:rsidRPr="00156839" w:rsidTr="00022254">
        <w:trPr>
          <w:gridAfter w:val="1"/>
          <w:wAfter w:w="135" w:type="dxa"/>
          <w:trHeight w:val="233"/>
        </w:trPr>
        <w:tc>
          <w:tcPr>
            <w:tcW w:w="14307" w:type="dxa"/>
            <w:gridSpan w:val="3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I. Informacja ogólne na temat sprawozdania z realizacji programu ochrony powietrza</w:t>
            </w:r>
          </w:p>
        </w:tc>
      </w:tr>
      <w:tr w:rsidR="00022178" w:rsidRPr="00156839" w:rsidTr="00022254">
        <w:trPr>
          <w:gridAfter w:val="1"/>
          <w:wAfter w:w="135" w:type="dxa"/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Lp.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Zawartość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Odpowiedź</w:t>
            </w:r>
          </w:p>
        </w:tc>
      </w:tr>
      <w:tr w:rsidR="00022178" w:rsidRPr="00156839" w:rsidTr="00022254">
        <w:trPr>
          <w:gridAfter w:val="1"/>
          <w:wAfter w:w="135" w:type="dxa"/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Rok referencyjny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2023</w:t>
            </w:r>
          </w:p>
        </w:tc>
      </w:tr>
      <w:tr w:rsidR="00022178" w:rsidRPr="00156839" w:rsidTr="00022254">
        <w:trPr>
          <w:gridAfter w:val="1"/>
          <w:wAfter w:w="135" w:type="dxa"/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Województwo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zachodniopomorskie</w:t>
            </w:r>
          </w:p>
        </w:tc>
      </w:tr>
      <w:tr w:rsidR="00022178" w:rsidRPr="00156839" w:rsidTr="00022254">
        <w:trPr>
          <w:gridAfter w:val="1"/>
          <w:wAfter w:w="135" w:type="dxa"/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Kod strefy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PL3203</w:t>
            </w:r>
          </w:p>
        </w:tc>
      </w:tr>
      <w:tr w:rsidR="00022178" w:rsidRPr="00156839" w:rsidTr="00022254">
        <w:trPr>
          <w:gridAfter w:val="1"/>
          <w:wAfter w:w="135" w:type="dxa"/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4.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Kod programu ochrony powietrza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PL3203PM10dBaPa_2018</w:t>
            </w:r>
          </w:p>
        </w:tc>
      </w:tr>
      <w:tr w:rsidR="00022178" w:rsidRPr="00156839" w:rsidTr="00022254">
        <w:trPr>
          <w:gridAfter w:val="1"/>
          <w:wAfter w:w="135" w:type="dxa"/>
          <w:trHeight w:val="720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5.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ind w:right="3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Adres strony internetowej, pod którym znajduje się sprawozdanie końcowe z realizacji programu ochrony powietrza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jc w:val="both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https://srodowisko.wzp.pl/biuro-ds-geologii-i-polityki-ekologicznej/programy-ochrony-powietrza-i-plany-dzialan-krotkoterminowych/sprawozdawczosc/sprawozdania-z-programow-ochrony-powietrza</w:t>
            </w:r>
          </w:p>
        </w:tc>
      </w:tr>
      <w:tr w:rsidR="00022178" w:rsidRPr="00156839" w:rsidTr="00022254">
        <w:trPr>
          <w:gridAfter w:val="1"/>
          <w:wAfter w:w="135" w:type="dxa"/>
          <w:trHeight w:val="720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6.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Nazwa urzędu marszałkowskiego/urzędu miasta/urzędu gminy/starostwa powiatowego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Urząd Marszałkowski Województwa Zachodniopomorskiego</w:t>
            </w:r>
          </w:p>
        </w:tc>
      </w:tr>
      <w:tr w:rsidR="00022178" w:rsidRPr="00156839" w:rsidTr="00022254">
        <w:trPr>
          <w:gridAfter w:val="1"/>
          <w:wAfter w:w="135" w:type="dxa"/>
          <w:trHeight w:val="720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7.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Adres pocztowy urzędu marszałkowskiego/urzędu miasta/urzędu gminy/starostwa powiatowego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116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ul. </w:t>
            </w:r>
            <w:r w:rsidR="00156839">
              <w:rPr>
                <w:rFonts w:ascii="DejaVu Sans" w:eastAsia="DejaVu Sans" w:hAnsi="DejaVu Sans" w:cs="DejaVu Sans"/>
                <w:sz w:val="18"/>
                <w:szCs w:val="18"/>
              </w:rPr>
              <w:t>Marszałka Józefa Piłsudskiego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</w:t>
            </w:r>
            <w:r w:rsidR="00156839">
              <w:rPr>
                <w:rFonts w:ascii="DejaVu Sans" w:eastAsia="DejaVu Sans" w:hAnsi="DejaVu Sans" w:cs="DejaVu Sans"/>
                <w:sz w:val="18"/>
                <w:szCs w:val="18"/>
              </w:rPr>
              <w:t>40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70-</w:t>
            </w:r>
            <w:r w:rsidR="00156839">
              <w:rPr>
                <w:rFonts w:ascii="DejaVu Sans" w:eastAsia="DejaVu Sans" w:hAnsi="DejaVu Sans" w:cs="DejaVu Sans"/>
                <w:sz w:val="18"/>
                <w:szCs w:val="18"/>
              </w:rPr>
              <w:t>421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Szczecin</w:t>
            </w:r>
          </w:p>
        </w:tc>
      </w:tr>
      <w:tr w:rsidR="00022178" w:rsidRPr="00156839" w:rsidTr="00022254">
        <w:trPr>
          <w:gridAfter w:val="1"/>
          <w:wAfter w:w="135" w:type="dxa"/>
          <w:trHeight w:val="1450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8.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Imię/imiona i nazwisko/nazwiska pracownika/pracowników urzędu</w:t>
            </w:r>
          </w:p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marszałkowskiego/urzędu 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>miasta/urzędu gminy/starostwa powiatowego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odpowiedzialnego/odpowie</w:t>
            </w:r>
          </w:p>
          <w:p w:rsidR="00022178" w:rsidRPr="00156839" w:rsidRDefault="00022254">
            <w:pPr>
              <w:spacing w:after="0"/>
              <w:ind w:right="18"/>
              <w:rPr>
                <w:sz w:val="18"/>
                <w:szCs w:val="18"/>
              </w:rPr>
            </w:pP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dzialnych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za przygotowanie danych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156839" w:rsidRPr="00156839" w:rsidRDefault="00022254">
            <w:pPr>
              <w:spacing w:after="0"/>
              <w:ind w:right="7608"/>
              <w:rPr>
                <w:rFonts w:ascii="DejaVu Sans" w:eastAsia="DejaVu Sans" w:hAnsi="DejaVu Sans" w:cs="DejaVu Sans"/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 xml:space="preserve">Aneta 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Trybuchowicz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</w:t>
            </w:r>
          </w:p>
          <w:p w:rsidR="00022178" w:rsidRPr="00156839" w:rsidRDefault="00022254">
            <w:pPr>
              <w:spacing w:after="0"/>
              <w:ind w:right="7608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Joanna 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Roens</w:t>
            </w:r>
            <w:proofErr w:type="spellEnd"/>
          </w:p>
        </w:tc>
      </w:tr>
      <w:tr w:rsidR="00022178" w:rsidRPr="00156839" w:rsidTr="00022254">
        <w:trPr>
          <w:gridAfter w:val="1"/>
          <w:wAfter w:w="135" w:type="dxa"/>
          <w:trHeight w:val="1328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9.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Służbowy telefon pracownika/pracowników urzędu</w:t>
            </w:r>
          </w:p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marszałkowskiego/urzędu miasta/urzędu gminy/starostwa powiatowego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odpowiedzialnego/odpowie</w:t>
            </w:r>
          </w:p>
          <w:p w:rsidR="00022178" w:rsidRPr="00156839" w:rsidRDefault="00022254">
            <w:pPr>
              <w:spacing w:after="0"/>
              <w:ind w:right="18"/>
              <w:rPr>
                <w:sz w:val="18"/>
                <w:szCs w:val="18"/>
              </w:rPr>
            </w:pP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dzialnych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za przygotowanie danych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+48 914542633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+48 914542634</w:t>
            </w:r>
          </w:p>
        </w:tc>
      </w:tr>
      <w:tr w:rsidR="00022178" w:rsidRPr="00156839" w:rsidTr="00022254">
        <w:trPr>
          <w:gridAfter w:val="1"/>
          <w:wAfter w:w="135" w:type="dxa"/>
          <w:trHeight w:val="1450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10.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Służbowy adres poczty elektronicznej pracownika/pracowników urzędu</w:t>
            </w:r>
          </w:p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marszałkowskiego/urzędu miasta/urzędu gminy/starostwa powiatowego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odpowiedzialnego/odpowie</w:t>
            </w:r>
          </w:p>
          <w:p w:rsidR="00022178" w:rsidRPr="00156839" w:rsidRDefault="00022254">
            <w:pPr>
              <w:spacing w:after="0"/>
              <w:ind w:right="18"/>
              <w:rPr>
                <w:sz w:val="18"/>
                <w:szCs w:val="18"/>
              </w:rPr>
            </w:pP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dzialnych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za przygotowanie danych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2D22B0" w:rsidRDefault="00022254">
            <w:pPr>
              <w:spacing w:after="0"/>
              <w:ind w:right="7131"/>
              <w:rPr>
                <w:rFonts w:ascii="DejaVu Sans" w:eastAsia="DejaVu Sans" w:hAnsi="DejaVu Sans" w:cs="DejaVu Sans"/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atrybuchowicz@wzp.pl </w:t>
            </w:r>
          </w:p>
          <w:p w:rsidR="00022178" w:rsidRPr="00156839" w:rsidRDefault="00022254">
            <w:pPr>
              <w:spacing w:after="0"/>
              <w:ind w:right="7131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jroens@wzp.pl</w:t>
            </w:r>
          </w:p>
        </w:tc>
      </w:tr>
      <w:tr w:rsidR="00022178" w:rsidRPr="00156839" w:rsidTr="00022254">
        <w:trPr>
          <w:gridAfter w:val="1"/>
          <w:wAfter w:w="135" w:type="dxa"/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11.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Uwagi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gridAfter w:val="1"/>
          <w:wAfter w:w="135" w:type="dxa"/>
          <w:trHeight w:val="233"/>
        </w:trPr>
        <w:tc>
          <w:tcPr>
            <w:tcW w:w="14307" w:type="dxa"/>
            <w:gridSpan w:val="3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II. Zestawienie działań naprawczych</w:t>
            </w:r>
          </w:p>
        </w:tc>
      </w:tr>
      <w:tr w:rsidR="00022178" w:rsidRPr="00156839" w:rsidTr="00022254">
        <w:trPr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Lp.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Zawartość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Odpowiedź (działanie naprawcze nr 1)</w:t>
            </w:r>
          </w:p>
        </w:tc>
        <w:tc>
          <w:tcPr>
            <w:tcW w:w="135" w:type="dxa"/>
            <w:vMerge w:val="restart"/>
            <w:tcBorders>
              <w:top w:val="single" w:sz="4" w:space="0" w:color="555555"/>
              <w:left w:val="single" w:sz="4" w:space="0" w:color="555555"/>
              <w:bottom w:val="nil"/>
              <w:right w:val="nil"/>
            </w:tcBorders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Kod działania naprawczego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PL3203_ZSO</w:t>
            </w:r>
          </w:p>
        </w:tc>
        <w:tc>
          <w:tcPr>
            <w:tcW w:w="135" w:type="dxa"/>
            <w:vMerge/>
            <w:tcBorders>
              <w:top w:val="nil"/>
              <w:left w:val="single" w:sz="4" w:space="0" w:color="555555"/>
              <w:bottom w:val="nil"/>
              <w:right w:val="nil"/>
            </w:tcBorders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Tytuł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Ograniczenie emisji z instalacji o małej mocy do 1 MW, w których następuje spalanie paliw stałych</w:t>
            </w:r>
          </w:p>
        </w:tc>
        <w:tc>
          <w:tcPr>
            <w:tcW w:w="135" w:type="dxa"/>
            <w:vMerge/>
            <w:tcBorders>
              <w:top w:val="nil"/>
              <w:left w:val="single" w:sz="4" w:space="0" w:color="555555"/>
              <w:bottom w:val="nil"/>
              <w:right w:val="nil"/>
            </w:tcBorders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842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Kod sytuacji przekroczenia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3218zpoBaPa01 3218zpoBaPa02 3218zpoBaPa03 3218zpoBaPa04 3218zpoBaPa05 3218zpoBaPa06 3218zpoBaPa07 3218zpoBaPa08 3218zpoBaPa09 3218zpoBaPa10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3218zpoBaPa11 3218zpoBaPa12 3218zpoBaPa13 3218zpoBaPa14 3218zpoBaPa15 3218zpoBaPa16 3218zpoBaPa17 3218zpoBaPa18 3218zpoBaPa19 3218zpoBaPa20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3218zpoBaPa21 3218zpoBaPa22 3218zpoBaPa23 3218zpoBaPa24 3218zpoBaPa25 3218zpoBaPa26 3218zpoBaPa27 3218zpoBaPa28 3218zpoBaPa29 3218zpoBaPa30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3218zpoBaPa31 3218zpoBaPa32 3218zpoBaPa33 3218zpoBaPa34 3218zpoBaPa35 3218zpoBaPa36 3218zpoBaPa37 3218zpoBaPa38 3218zpoBaPa39 3218zpoBaPa40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3218zpoBaPa41 3218zpoBaPa42 3218zpoBaPa43 3218zpoBaPa44 3218zpoBaPa45 3218zpoBaPa46 3218zpoBaPa47 3218zpoBaPa48 3218zpoBaPa49 3218zpoBaPa50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3218zpoBaPa51 3218zpoBaPa52 3218zpoBaPa53 3218zpoBaPa54 3218zpoBaPa55 3218zpoBaPa56 3218zpoBaPa57 3218zpoBaPa58 3218zpoBaPa59</w:t>
            </w:r>
          </w:p>
        </w:tc>
        <w:tc>
          <w:tcPr>
            <w:tcW w:w="135" w:type="dxa"/>
            <w:vMerge/>
            <w:tcBorders>
              <w:top w:val="nil"/>
              <w:left w:val="single" w:sz="4" w:space="0" w:color="555555"/>
              <w:bottom w:val="nil"/>
              <w:right w:val="nil"/>
            </w:tcBorders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3031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4.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Opis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 w:line="247" w:lineRule="auto"/>
              <w:ind w:right="5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Działanie powinno być realizowane zgodnie z Uchwałą Nr XXX/540/18 Sejmiku Województwa Zachodniopomorskiego z dn. 26 września 2018 r. w sprawie wprowadzenia na obszarze województwa zachodniopomorskiego ograniczeń i zakazów w zakresie eksploatacji instalacji, w których następuje spalanie paliw. Uchwała wskazuje jakie instalacje powinny zostać objęte ograniczeniami oraz zakazami w zakresie ich eksploatacji. Dopuszcza ona od 1 stycznia 2024 r. wyłącznie eksploatację instalacji spełniających wymagania odnoszące się do sprawności cieplnej i emisji zanieczyszczeń określonych dla klasy 3, 4 lub 5 według normy PN-EN 303-5:2012, natomiast od 1 stycznia 2028 r. możliwość stosowania kotłów minimum 5 klasy.</w:t>
            </w:r>
          </w:p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Działania zmierzające do obniżenia emisji z indywidualnych systemów grzewczych opalanych paliwami stałymi, będą obejmować przede wszystkim poniższe czynności i powinny być dokonywane z poniżej ustaloną hierarchią:</w:t>
            </w:r>
          </w:p>
          <w:p w:rsidR="00022178" w:rsidRPr="00156839" w:rsidRDefault="00022254">
            <w:pPr>
              <w:spacing w:after="0" w:line="247" w:lineRule="auto"/>
              <w:ind w:right="244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1) zastąpienie 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niskosprawnych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urządzeń grzewczych podłączeniem do sieci ciepłowniczej lub urządzeniami opalanymi gazem; 2) prowadzenie działań zmierzających do wymiany 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niskosprawnych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kotłów na paliwa stałe na:</w:t>
            </w:r>
          </w:p>
          <w:p w:rsidR="00022178" w:rsidRPr="00156839" w:rsidRDefault="00022254">
            <w:pPr>
              <w:numPr>
                <w:ilvl w:val="0"/>
                <w:numId w:val="1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kotły zasilane olejem opałowym;</w:t>
            </w:r>
          </w:p>
          <w:p w:rsidR="00022178" w:rsidRPr="00156839" w:rsidRDefault="00022254">
            <w:pPr>
              <w:numPr>
                <w:ilvl w:val="0"/>
                <w:numId w:val="1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ogrzewanie elektryczne;</w:t>
            </w:r>
          </w:p>
          <w:p w:rsidR="00022178" w:rsidRPr="00156839" w:rsidRDefault="00022254">
            <w:pPr>
              <w:numPr>
                <w:ilvl w:val="0"/>
                <w:numId w:val="1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OZE (głównie pompy ciepła);</w:t>
            </w:r>
          </w:p>
          <w:p w:rsidR="00022178" w:rsidRPr="00156839" w:rsidRDefault="00022254">
            <w:pPr>
              <w:numPr>
                <w:ilvl w:val="0"/>
                <w:numId w:val="1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nowe kotły węglowe zasilane automatycznie spełniające wymagania min. klasy 5;</w:t>
            </w:r>
          </w:p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Wymiany 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niskosprawnych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źródeł ciepła należy przeprowadzać w budynkach mieszkalnych (jedno i wielorodzinnych), budynkach użyteczności publicznej, budynkach usługowych, produkcyjnych i handlowych.</w:t>
            </w:r>
          </w:p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3) Stosowanie w nowo powstałych budynkach hierarchii źródeł ogrzewania: OZE (pompy ciepła), podłączenie do sieci ciepłowniczej lub sieci gazowej, urządzenia opalane olejem, ogrzewanie elektryczne lub montaż nowych kotłów węglowych zasilanych automatycznie spełniających wymagania min. klasy 5.</w:t>
            </w:r>
          </w:p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Ponadto w ramach działania w celu zwiększenia efektywności energetycznej budynków, w których dokonywana jest wymiana urządzeń grzewczych należy prowadzić działania termomodernizacyjne, tj. docieplenie ścian, stropów, dachów, wymianę stolarki okiennej i drzwiowej.</w:t>
            </w:r>
          </w:p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 ramach działania samorząd lokalny powinien udzielać wsparcia finansowego ze środków własnych lub pozyskanych ze źródeł zewnętrznych np. w postaci dotacji celowej, dla mieszkańców i jednostek wpisanych w lokalne regulaminy dofinansowania zgodnie z przyjętymi wytycznymi i ustalonymi priorytetami działań. Dofinansowanie może odbywać się na zasadach określonych w dokumentach lokalnych, jak np.: Program ograniczania niskiej emisji. Samorząd lokalny udzielający dofinansowania może wymagać zaświadczenia o likwidacji starego źródła ciepła, w celu zabezpieczenia osiągnięcia zakładanego efektu ekologicznego i ochrony przed niewłaściwym wykorzystaniem przyznanych środków.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Działanie wpisuje się również w założenia projektu rządowego „Czyste Powietrze”, którego realizacja przewidziana jest do roku 2029.</w:t>
            </w:r>
          </w:p>
        </w:tc>
        <w:tc>
          <w:tcPr>
            <w:tcW w:w="135" w:type="dxa"/>
            <w:vMerge/>
            <w:tcBorders>
              <w:top w:val="nil"/>
              <w:left w:val="single" w:sz="4" w:space="0" w:color="555555"/>
              <w:bottom w:val="nil"/>
              <w:right w:val="nil"/>
            </w:tcBorders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</w:tbl>
    <w:p w:rsidR="00022178" w:rsidRDefault="00022178">
      <w:pPr>
        <w:spacing w:after="0"/>
        <w:ind w:left="-680" w:right="141"/>
      </w:pPr>
    </w:p>
    <w:tbl>
      <w:tblPr>
        <w:tblStyle w:val="TableGrid"/>
        <w:tblW w:w="14307" w:type="dxa"/>
        <w:tblInd w:w="5" w:type="dxa"/>
        <w:tblCellMar>
          <w:top w:w="75" w:type="dxa"/>
          <w:left w:w="56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11907"/>
      </w:tblGrid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5.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Nazwa i kod strefy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strefa zachodniopomorska PL3203</w:t>
            </w: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6.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Obszar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7.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Termin zastosowania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2020 - 2023</w:t>
            </w:r>
          </w:p>
        </w:tc>
      </w:tr>
      <w:tr w:rsidR="00022178" w:rsidRPr="00156839" w:rsidTr="00022254">
        <w:trPr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8.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Skala czasowa osiągnięcia redukcji stężenia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B: średnioterminowy (2-4 lat)</w:t>
            </w:r>
          </w:p>
        </w:tc>
      </w:tr>
      <w:tr w:rsidR="00022178" w:rsidRPr="00156839" w:rsidTr="00022254">
        <w:trPr>
          <w:trHeight w:val="477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9.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Kategoria źródeł emisji,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której dotyczy działanie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naprawcze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D: źródła związane z handlem i mieszkalnictwem</w:t>
            </w:r>
          </w:p>
        </w:tc>
      </w:tr>
      <w:tr w:rsidR="00022178" w:rsidRPr="00156839" w:rsidTr="00022254">
        <w:trPr>
          <w:trHeight w:val="181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10.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Efekt rzeczowy działania naprawczego obliczony (oszacowany) na podstawie wskaźnika(-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ków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)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monitorowania postępu realizacji działania naprawczego w roku zakończenia programu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termomodernizacja i zmiana kotła - węglowy klasa 5: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343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11783,35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termomodernizacja i zmiana kotła - na biomasę klasa 5: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535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54832,61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termomodernizacja i zmiana paliwa na gazowe: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690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74708,14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termomodernizacja i zmiana paliwa na olejowe: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76,17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termomodernizacja wraz z podłączeniem do sieci cieplnej: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125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7719,68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likwidacja kotła węglowego - podłączenie do sieci cieplnej: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90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22927,35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zmiana ogrzewania węglowego na elektryczne: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265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18631,38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instalacja pompy ciepła (ziemnej lub powietrznej):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2609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281560,651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zmiana starego kotła na nowy kocioł węglowy klasa 5: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366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39335,87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zmiana starego kotła na nowy kocioł na biomasę klasa 5: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1543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139936,2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zmiana paliwa węglowego na gazowe: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2702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283127,07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zmiana paliwa węglowego na olej opałowy: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7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2924,43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termomodernizacja bez wymiany źródła ogrzewania: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225894,55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  <w:p w:rsidR="00022178" w:rsidRPr="00156839" w:rsidRDefault="00022254">
            <w:pPr>
              <w:numPr>
                <w:ilvl w:val="0"/>
                <w:numId w:val="2"/>
              </w:numPr>
              <w:spacing w:after="0"/>
              <w:ind w:hanging="17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instalacja kolektorów słonecznych bez zmiany kotła węglowego: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530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szt.,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19345,838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m²</w:t>
            </w:r>
          </w:p>
        </w:tc>
      </w:tr>
      <w:tr w:rsidR="00022178" w:rsidRPr="00156839" w:rsidTr="00022254">
        <w:trPr>
          <w:trHeight w:val="1207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11.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Szacunkowa redukcja wielkości emisji poszczególnych substancji w powietrzu w roku zakończenia programu w związku z realizacją działania naprawczego wskazanego w programie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(Mg/rok)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Benzo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(a)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piren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= 0,198 Mg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Pył zawieszony PM10 = 403,046 Mg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Pył zawieszony PM2,5 = 397,938 Mg</w:t>
            </w:r>
          </w:p>
        </w:tc>
      </w:tr>
      <w:tr w:rsidR="00022178" w:rsidRPr="00156839" w:rsidTr="00022254">
        <w:trPr>
          <w:trHeight w:val="108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>12.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ind w:right="23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Szacunkowy poziom substancji (wartość średnioroczna) w powietrzu oraz pułapu stężenia ekspozycji w roku zakończenia realizacji programu (µg/m³ lub 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ng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/m³)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Pył zawieszony PM10: 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ZpKolZolkiew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17,86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ZpMyslZaBram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21,52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ZpSwinMatejkMOB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15,27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Stacja ZpSzczec1Maj – 19,39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ZpSzczecPrze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17,62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</w:p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Benzo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(a)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piren</w:t>
            </w:r>
            <w:proofErr w:type="spellEnd"/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ZpKolZolkiew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0,1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ZpMyslZaBram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0,96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ZpSwinMatejkMOB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0,11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ZpSzczec1Maj – 0,26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178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ZpSzczecPrze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0,89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</w:tr>
      <w:tr w:rsidR="00022178" w:rsidRPr="00156839" w:rsidTr="00022254">
        <w:trPr>
          <w:trHeight w:val="842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13.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Szacunkowa liczba dni, w których zostały przekroczone poziomy dopuszczalne substancji w powietrzu w roku zakończenia programu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Pył zawieszony PM10: 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ZpKolZolkiew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 dni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ZpMyslZaBram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- 7 dni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ZpSwinMatejkMOB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 dni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Stacja ZpSzczec1Maj – 4 dni</w:t>
            </w:r>
          </w:p>
          <w:p w:rsidR="00022178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ZpSzczecPrze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 dni</w:t>
            </w:r>
          </w:p>
        </w:tc>
      </w:tr>
      <w:tr w:rsidR="00022178" w:rsidRPr="00156839" w:rsidTr="00022254">
        <w:trPr>
          <w:trHeight w:val="96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14.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Wysokość całkowita poniesionych kosztów (w PLN), źródła finansowania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Środki własne zarządców i właścicieli nieruchomości 38 349 909,48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Narodowy Fundusz Ochrony Środowiska i Gospodarki Wodnej 13 549 793,31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Wojewódzki Fundusz Ochrony Środowiska i Gospodarki Wodnej 129 650 542,56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Budżet jednostki samorządu terytorialnego 37 875 762,55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Środki unijne 72 858 100,42</w:t>
            </w:r>
          </w:p>
          <w:p w:rsidR="002D22B0" w:rsidRDefault="00022254">
            <w:pPr>
              <w:spacing w:after="0"/>
              <w:ind w:right="5130"/>
              <w:jc w:val="both"/>
              <w:rPr>
                <w:rFonts w:ascii="DejaVu Sans" w:eastAsia="DejaVu Sans" w:hAnsi="DejaVu Sans" w:cs="DejaVu Sans"/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Środki dystrybutorów ciepła sieciowego oraz gazu 821 141,75 </w:t>
            </w:r>
          </w:p>
          <w:p w:rsidR="00022178" w:rsidRPr="00156839" w:rsidRDefault="00022254">
            <w:pPr>
              <w:spacing w:after="0"/>
              <w:ind w:right="5130"/>
              <w:jc w:val="both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Łącznie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293 105 250,07</w:t>
            </w:r>
          </w:p>
        </w:tc>
      </w:tr>
      <w:tr w:rsidR="00022178" w:rsidRPr="00156839" w:rsidTr="00022254">
        <w:trPr>
          <w:trHeight w:val="108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15.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Wysokość całkowita poniesionych kosztów (w EUR), źródła finansowania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Środki własne zarządców i właścicieli nieruchomości 8 868 671,54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Narodowy Fundusz Ochrony Środowiska i Gospodarki Wodnej 3 133 479,79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Wojewódzki Fundusz Ochrony Środowiska i Gospodarki Wodnej 29 982 549,97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Budżet jednostki samorządu terytorialnego 8 759 021,91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Środki unijne 16 848 920,13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Środki dystrybutorów ciepła sieciowego oraz gazu 189 894,49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Łącznie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67 782 537,83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przyjęto kurs średni euro (EUR) z dnia 20.03.2024 nr 057/A/NBP/2024 wynoszący 4,3242</w:t>
            </w:r>
          </w:p>
        </w:tc>
      </w:tr>
      <w:tr w:rsidR="00022178" w:rsidRPr="00156839" w:rsidTr="00022254">
        <w:trPr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16.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Uwagi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Default="00022178">
            <w:pPr>
              <w:rPr>
                <w:sz w:val="18"/>
                <w:szCs w:val="18"/>
              </w:rPr>
            </w:pPr>
          </w:p>
          <w:p w:rsidR="002D22B0" w:rsidRPr="00156839" w:rsidRDefault="002D22B0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>Lp.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Zawartość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Odpowiedź (działanie naprawcze nr 2)</w:t>
            </w: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Kod działania naprawczego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PL3203_EE</w:t>
            </w: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Tytuł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Działania promocyjne i edukacyjne (ulotki, imprezy, akcje szkolne, audycje, konferencje) oraz informacyjne i szkoleniowe</w:t>
            </w:r>
          </w:p>
        </w:tc>
      </w:tr>
      <w:tr w:rsidR="00022178" w:rsidRPr="00156839" w:rsidTr="00022254">
        <w:trPr>
          <w:trHeight w:val="841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Kod sytuacji przekroczenia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3218zpoBaPa01 3218zpoBaPa02 3218zpoBaPa03 3218zpoBaPa04 3218zpoBaPa05 3218zpoBaPa06 3218zpoBaPa07 3218zpoBaPa08 3218zpoBaPa09 3218zpoBaPa10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3218zpoBaPa11 3218zpoBaPa12 3218zpoBaPa13 3218zpoBaPa14 3218zpoBaPa15 3218zpoBaPa16 3218zpoBaPa17 3218zpoBaPa18 3218zpoBaPa19 3218zpoBaPa20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3218zpoBaPa21 3218zpoBaPa22 3218zpoBaPa23 3218zpoBaPa24 3218zpoBaPa25 3218zpoBaPa26 3218zpoBaPa27 3218zpoBaPa28 3218zpoBaPa29 3218zpoBaPa30</w:t>
            </w:r>
          </w:p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3218zpoBaPa31 3218zpoBaPa32 3218zpoBaPa33 3218zpoBaPa34 3218zpoBaPa35 3218zpoBaPa36 3218zpoBaPa37 3218zpoBaPa38 3218zpoBaPa39 3218zpoBaPa40 3218zpoBaPa41 3218zpoBaPa42 3218zpoBaPa43 3218zpoBaPa44 3218zpoBaPa45 3218zpoBaPa46 3218zpoBaPa47 3218zpoBaPa48 3218zpoBaPa49 3218zpoBaPa50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3218zpoBaPa51 3218zpoBaPa52 3218zpoBaPa53 3218zpoBaPa54 3218zpoBaPa55 3218zpoBaPa56 3218zpoBaPa57 3218zpoBaPa58 3218zpoBaPa59</w:t>
            </w:r>
          </w:p>
        </w:tc>
      </w:tr>
      <w:tr w:rsidR="00022178" w:rsidRPr="00156839" w:rsidTr="00022254">
        <w:trPr>
          <w:trHeight w:val="96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4.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Opis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Działania edukacyjne i informacyjne powinny być realizowane poprzez:</w:t>
            </w:r>
          </w:p>
          <w:p w:rsidR="00022178" w:rsidRPr="00156839" w:rsidRDefault="00022254">
            <w:pPr>
              <w:numPr>
                <w:ilvl w:val="0"/>
                <w:numId w:val="3"/>
              </w:numPr>
              <w:spacing w:after="0"/>
              <w:ind w:hanging="83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prowadzenie akcji edukacyjnych uświadamiających mieszkańcom zagrożenia dla zdrowia, jakie niesie za sobą zanieczyszczenie powietrza;</w:t>
            </w:r>
          </w:p>
          <w:p w:rsidR="00022178" w:rsidRPr="00156839" w:rsidRDefault="00022254">
            <w:pPr>
              <w:numPr>
                <w:ilvl w:val="0"/>
                <w:numId w:val="3"/>
              </w:numPr>
              <w:spacing w:after="0"/>
              <w:ind w:hanging="83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prowadzenie akcji edukacyjnych uświadamiających mieszkańcom wpływ spalania paliw niskiej jakości oraz odpadów na jakość powietrza;</w:t>
            </w:r>
          </w:p>
          <w:p w:rsidR="00022178" w:rsidRPr="00156839" w:rsidRDefault="00022254">
            <w:pPr>
              <w:numPr>
                <w:ilvl w:val="0"/>
                <w:numId w:val="3"/>
              </w:numPr>
              <w:spacing w:after="0"/>
              <w:ind w:hanging="83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informowanie mieszkańców o zakazach związanych z:</w:t>
            </w:r>
          </w:p>
          <w:p w:rsidR="00022178" w:rsidRPr="00156839" w:rsidRDefault="00022254" w:rsidP="002D22B0">
            <w:pPr>
              <w:numPr>
                <w:ilvl w:val="0"/>
                <w:numId w:val="4"/>
              </w:numPr>
              <w:spacing w:after="0"/>
              <w:ind w:firstLine="51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postępowaniem z odpadami,</w:t>
            </w:r>
          </w:p>
          <w:p w:rsidR="00022178" w:rsidRPr="00156839" w:rsidRDefault="00022254" w:rsidP="002D22B0">
            <w:pPr>
              <w:numPr>
                <w:ilvl w:val="0"/>
                <w:numId w:val="4"/>
              </w:numPr>
              <w:spacing w:after="0"/>
              <w:ind w:left="794" w:hanging="284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wejściem w życie tzw. „uchwały antysmogowej” w zakresie ograniczeń związanych ze spalaniem paliw (począwszy od 1</w:t>
            </w:r>
            <w:r w:rsidR="002D22B0">
              <w:rPr>
                <w:rFonts w:ascii="DejaVu Sans" w:eastAsia="DejaVu Sans" w:hAnsi="DejaVu Sans" w:cs="DejaVu Sans"/>
                <w:sz w:val="18"/>
                <w:szCs w:val="18"/>
              </w:rPr>
              <w:t> 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maja 2019 r.), a także kolejnych terminów związanych z</w:t>
            </w:r>
            <w:r w:rsidR="00D01CCE">
              <w:rPr>
                <w:rFonts w:ascii="DejaVu Sans" w:eastAsia="DejaVu Sans" w:hAnsi="DejaVu Sans" w:cs="DejaVu Sans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ograniczeniami w zakresie eksploatacji instalacji do spalania paliw.</w:t>
            </w: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5.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Nazwa i kod strefy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strefa zachodniopomorska PL3203</w:t>
            </w: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6.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Obszar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7.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Termin zastosowania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2020 - 2023</w:t>
            </w:r>
          </w:p>
        </w:tc>
      </w:tr>
      <w:tr w:rsidR="00022178" w:rsidRPr="00156839" w:rsidTr="00022254">
        <w:trPr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8.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Skala czasowa osiągnięcia redukcji stężenia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C: długoterminowy (4-6 lat)</w:t>
            </w:r>
          </w:p>
        </w:tc>
      </w:tr>
      <w:tr w:rsidR="00022178" w:rsidRPr="00156839" w:rsidTr="00022254">
        <w:trPr>
          <w:trHeight w:val="477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9.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Kategoria źródeł emisji,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której dotyczy działanie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naprawcze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D: źródła związane z handlem i mieszkalnictwem</w:t>
            </w:r>
          </w:p>
        </w:tc>
      </w:tr>
      <w:tr w:rsidR="00022178" w:rsidRPr="00156839" w:rsidTr="00022254">
        <w:trPr>
          <w:trHeight w:val="108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Efekt rzeczowy działania naprawczego obliczony (oszacowany) na podstawie wskaźnika(-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ków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)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monitorowania postępu realizacji działania naprawczego w roku zakończenia programu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numPr>
                <w:ilvl w:val="0"/>
                <w:numId w:val="5"/>
              </w:numPr>
              <w:spacing w:after="0"/>
              <w:ind w:hanging="116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placówek oświatowych objętych edukacją ekologiczną: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1127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5"/>
              </w:numPr>
              <w:spacing w:after="0"/>
              <w:ind w:hanging="116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przeprowadzonych kampanii: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740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5"/>
              </w:numPr>
              <w:spacing w:after="0"/>
              <w:ind w:hanging="116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przeprowadzonych akcji: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1961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5"/>
              </w:numPr>
              <w:spacing w:after="0"/>
              <w:ind w:hanging="116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przeprowadzonych konferencji: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332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5"/>
              </w:numPr>
              <w:spacing w:after="0"/>
              <w:ind w:hanging="116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osób objętych działaniami informacyjnymi i edukacyjnymi: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1340172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</w:tc>
      </w:tr>
    </w:tbl>
    <w:p w:rsidR="00022178" w:rsidRDefault="00022178">
      <w:pPr>
        <w:spacing w:after="0"/>
        <w:ind w:left="-680" w:right="141"/>
      </w:pPr>
    </w:p>
    <w:tbl>
      <w:tblPr>
        <w:tblStyle w:val="TableGrid"/>
        <w:tblW w:w="14307" w:type="dxa"/>
        <w:tblInd w:w="5" w:type="dxa"/>
        <w:tblCellMar>
          <w:top w:w="75" w:type="dxa"/>
          <w:left w:w="56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11907"/>
      </w:tblGrid>
      <w:tr w:rsidR="00022178" w:rsidRPr="00156839" w:rsidTr="00022254">
        <w:trPr>
          <w:trHeight w:val="1207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11.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Szacunkowa redukcja wielkości emisji poszczególnych substancji w powietrzu w roku zakończenia programu w związku z realizacją działania naprawczego wskazanego w programie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(Mg/rok)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108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12.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ind w:right="23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Szacunkowy poziom substancji (wartość średnioroczna) w powietrzu oraz pułapu stężenia ekspozycji w roku zakończenia realizacji programu (µg/m³ lub 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ng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/m³)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Pył zawieszony PM10: 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ZpKolZolkiew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17,86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ZpMyslZaBram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21,52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ZpSwinMatejkMOB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15,27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Stacja ZpSzczec1Maj – 19,39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ZpSzczecPrze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17,62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</w:p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Benzo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(a)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piren</w:t>
            </w:r>
            <w:proofErr w:type="spellEnd"/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ZpKolZolkiew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0,1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ZpMyslZaBram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0,96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ZpSwinMatejkMOB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0,11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ZpSzczec1Maj – 0,26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178" w:rsidRPr="00156839" w:rsidRDefault="00022254" w:rsidP="00022254">
            <w:pPr>
              <w:rPr>
                <w:sz w:val="18"/>
                <w:szCs w:val="18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ZpSzczecPrze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0,89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</w:tr>
      <w:tr w:rsidR="00022178" w:rsidRPr="00156839" w:rsidTr="00022254">
        <w:trPr>
          <w:trHeight w:val="842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>13.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Szacunkowa liczba dni, w których zostały przekroczone poziomy dopuszczalne substancji w powietrzu w roku zakończenia programu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Pył zawieszony PM10: 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ZpKolZolkiew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 dni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ZpMyslZaBram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- 7 dni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ZpSwinMatejkMOB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 dni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Stacja ZpSzczec1Maj – 4 dni</w:t>
            </w:r>
          </w:p>
          <w:p w:rsidR="00022178" w:rsidRPr="00156839" w:rsidRDefault="00022254" w:rsidP="00022254">
            <w:pPr>
              <w:rPr>
                <w:sz w:val="18"/>
                <w:szCs w:val="18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ZpSzczecPrze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 dni</w:t>
            </w:r>
          </w:p>
        </w:tc>
      </w:tr>
      <w:tr w:rsidR="00022178" w:rsidRPr="00156839" w:rsidTr="00022254">
        <w:trPr>
          <w:trHeight w:val="720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14.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Wysokość całkowita poniesionych kosztów (w PLN), źródła finansowania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Budżet jednostki samorządu terytorialnego 1 805 161,04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Wojewódzki Fundusz Ochrony Środowiska i Gospodarki Wodnej 1 536 770,69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Narodowy Fundusz Ochrony Środowiska i Gospodarki Wodnej 38 192,76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Środki unijne 348 964,92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Łącznie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3 729 089,41</w:t>
            </w:r>
          </w:p>
        </w:tc>
      </w:tr>
      <w:tr w:rsidR="00022178" w:rsidRPr="00156839" w:rsidTr="00022254">
        <w:trPr>
          <w:trHeight w:val="841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15.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Wysokość całkowita poniesionych kosztów (w EUR), źródła finansowania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Budżet jednostki samorządu terytorialnego 417 455,49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Wojewódzki Fundusz Ochrony Środowiska i Gospodarki Wodnej 355 388,44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Narodowy Fundusz Ochrony Środowiska i Gospodarki Wodnej 8 832,33</w:t>
            </w:r>
          </w:p>
          <w:p w:rsidR="00022178" w:rsidRPr="00156839" w:rsidRDefault="00022254">
            <w:pPr>
              <w:spacing w:after="0" w:line="247" w:lineRule="auto"/>
              <w:ind w:right="6878"/>
              <w:jc w:val="both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Środki unijne 80 700,46 Łącznie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862 376,72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przyjęto kurs średni euro (EUR) z dnia 20.03.2024 nr 057/A/NBP/2024 wynoszący 4,3242</w:t>
            </w:r>
          </w:p>
        </w:tc>
      </w:tr>
      <w:tr w:rsidR="00022178" w:rsidRPr="00156839" w:rsidTr="00022254">
        <w:trPr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16.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Uwagi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 w:rsidP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Lp.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Zawartość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AAAAAA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Odpowiedź (działanie naprawcze nr 3)</w:t>
            </w: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Kod działania naprawczego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PL3203_KPP</w:t>
            </w: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Tytuł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Prowadzenie kontroli przestrzegania przepisów ograniczających używanie paliw lub urządzeń do celów grzewczych oraz zakazu spalania odpadów</w:t>
            </w:r>
          </w:p>
        </w:tc>
      </w:tr>
      <w:tr w:rsidR="00022178" w:rsidRPr="00156839" w:rsidTr="00022254">
        <w:trPr>
          <w:trHeight w:val="842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Kod sytuacji przekroczenia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3218zpoBaPa01 3218zpoBaPa02 3218zpoBaPa03 3218zpoBaPa04 3218zpoBaPa05 3218zpoBaPa06 3218zpoBaPa07 3218zpoBaPa08 3218zpoBaPa09 3218zpoBaPa10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3218zpoBaPa11 3218zpoBaPa12 3218zpoBaPa13 3218zpoBaPa14 3218zpoBaPa15 3218zpoBaPa16 3218zpoBaPa17 3218zpoBaPa18 3218zpoBaPa19 3218zpoBaPa20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3218zpoBaPa21 3218zpoBaPa22 3218zpoBaPa23 3218zpoBaPa24 3218zpoBaPa25 3218zpoBaPa26 3218zpoBaPa27 3218zpoBaPa28 3218zpoBaPa29 3218zpoBaPa30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3218zpoBaPa31 3218zpoBaPa32 3218zpoBaPa33 3218zpoBaPa34 3218zpoBaPa35 3218zpoBaPa36 3218zpoBaPa37 3218zpoBaPa38 3218zpoBaPa39 3218zpoBaPa40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3218zpoBaPa41 3218zpoBaPa42 3218zpoBaPa43 3218zpoBaPa44 3218zpoBaPa45 3218zpoBaPa46 3218zpoBaPa47 3218zpoBaPa48 3218zpoBaPa49 3218zpoBaPa50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3218zpoBaPa51 3218zpoBaPa52 3218zpoBaPa53 3218zpoBaPa54 3218zpoBaPa55 3218zpoBaPa56 3218zpoBaPa57 3218zpoBaPa58 3218zpoBaPa59</w:t>
            </w:r>
          </w:p>
        </w:tc>
      </w:tr>
      <w:tr w:rsidR="00022178" w:rsidRPr="00156839" w:rsidTr="00022254">
        <w:trPr>
          <w:trHeight w:val="96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>4.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Opis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Działalność kontrolna powinna obejmować:</w:t>
            </w:r>
          </w:p>
          <w:p w:rsidR="00022178" w:rsidRPr="00156839" w:rsidRDefault="00022254">
            <w:pPr>
              <w:numPr>
                <w:ilvl w:val="0"/>
                <w:numId w:val="6"/>
              </w:numPr>
              <w:spacing w:after="0"/>
              <w:ind w:hanging="83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przestrzeganie zakazu spalania odpadów w ogrzewaczach pomieszczeń;</w:t>
            </w:r>
          </w:p>
          <w:p w:rsidR="00022178" w:rsidRPr="00156839" w:rsidRDefault="00022254">
            <w:pPr>
              <w:numPr>
                <w:ilvl w:val="0"/>
                <w:numId w:val="6"/>
              </w:numPr>
              <w:spacing w:after="0"/>
              <w:ind w:hanging="83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przestrzeganie zakazu spalania odpadów zielonych, a także przestrzegania zakazu wypalania traw i łąk;</w:t>
            </w:r>
          </w:p>
          <w:p w:rsidR="00022178" w:rsidRPr="00156839" w:rsidRDefault="00022254">
            <w:pPr>
              <w:numPr>
                <w:ilvl w:val="0"/>
                <w:numId w:val="6"/>
              </w:numPr>
              <w:spacing w:after="0"/>
              <w:ind w:hanging="83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przestrzeganie zapisów uchwały antysmogowej:</w:t>
            </w:r>
          </w:p>
          <w:p w:rsidR="00022178" w:rsidRPr="00156839" w:rsidRDefault="00022254">
            <w:pPr>
              <w:numPr>
                <w:ilvl w:val="0"/>
                <w:numId w:val="7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 zakresie zakazu stosowania określonych paliw stałych - od 1 maja 2019 r.;</w:t>
            </w:r>
          </w:p>
          <w:p w:rsidR="00022178" w:rsidRPr="00156839" w:rsidRDefault="00022254">
            <w:pPr>
              <w:numPr>
                <w:ilvl w:val="0"/>
                <w:numId w:val="7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 zakresie obowiązywania ograniczeń dotyczących eksploatacji instalacji – od 1 stycznia 2024 r.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Kontrole mogą dotyczyć: gospodarstw domowych, obiektów należących do podmiotów gospodarczych, obiektów użyteczności publicznej.</w:t>
            </w: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5.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Nazwa i kod strefy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strefa zachodniopomorska PL3203</w:t>
            </w: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6.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Obszar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233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7.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Termin zastosowania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2020 - 2023</w:t>
            </w:r>
          </w:p>
        </w:tc>
      </w:tr>
      <w:tr w:rsidR="00022178" w:rsidRPr="00156839" w:rsidTr="00022254">
        <w:trPr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8.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Skala czasowa osiągnięcia redukcji stężenia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C: długoterminowy (4-6 lat)</w:t>
            </w:r>
          </w:p>
        </w:tc>
      </w:tr>
      <w:tr w:rsidR="00022178" w:rsidRPr="00156839" w:rsidTr="00022254">
        <w:trPr>
          <w:trHeight w:val="477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9.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Kategoria źródeł emisji,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której dotyczy działanie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naprawcze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D: źródła związane z handlem i mieszkalnictwem</w:t>
            </w:r>
          </w:p>
        </w:tc>
      </w:tr>
      <w:tr w:rsidR="00022178" w:rsidRPr="00156839" w:rsidTr="00022254">
        <w:trPr>
          <w:trHeight w:val="2301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F34690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10.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Efekt rzeczowy działania naprawczego obliczony (oszacowany) na podstawie wskaźnika(-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ków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)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monitorowania postępu realizacji działania naprawczego w roku zakończenia programu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 w:line="247" w:lineRule="auto"/>
              <w:ind w:right="937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1. kontrola w zakresie przestrzegania wymagań określonych w uchwale, o której mowa w art. 96 ustawy z dnia 27 kwietnia 2001 r. – Prawo ochrony środowiska: - liczba kontroli: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1574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8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popełnionych wykroczeń: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238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8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udzielonych pouczeń: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174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8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wystawionych mandatów: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62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8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spraw skierowanych do sądu: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spacing w:after="0" w:line="247" w:lineRule="auto"/>
              <w:ind w:right="3286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2. kontrola w zakresie przestrzegania zakazu spalania odpadów w urządzeniach nie przeznaczonych do tego: - liczba kontroli: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4593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9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popełnionych wykroczeń: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1238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9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udzielonych pouczeń: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845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9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wystawionych mandatów: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349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9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spraw skierowanych do sądu: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44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spacing w:after="0" w:line="247" w:lineRule="auto"/>
              <w:ind w:right="370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3. kontrola w zakresie przestrzegania zakazu spalania pozostałości roślinnych na powierzchni ziemi: - liczba kontroli: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1933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10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popełnionych wykroczeń: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1156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10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udzielonych pouczeń: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905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10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wystawionych mandatów: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240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  <w:p w:rsidR="00022178" w:rsidRPr="00156839" w:rsidRDefault="00022254">
            <w:pPr>
              <w:numPr>
                <w:ilvl w:val="0"/>
                <w:numId w:val="10"/>
              </w:numPr>
              <w:spacing w:after="0"/>
              <w:ind w:hanging="62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liczba spraw skierowanych do sądu: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11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 szt.</w:t>
            </w:r>
          </w:p>
        </w:tc>
      </w:tr>
      <w:tr w:rsidR="00022178" w:rsidRPr="00156839" w:rsidTr="00022254">
        <w:trPr>
          <w:trHeight w:val="1206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F34690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>11.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 w:line="247" w:lineRule="auto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Szacunkowa redukcja wielkości emisji poszczególnych substancji w powietrzu w roku zakończenia programu w związku z realizacją działania naprawczego wskazanego w programie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(Mg/rok)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  <w:tr w:rsidR="00022178" w:rsidRPr="00156839" w:rsidTr="00022254">
        <w:trPr>
          <w:trHeight w:val="108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F34690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12.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ind w:right="23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Szacunkowy poziom substancji (wartość średnioroczna) w powietrzu oraz pułapu stężenia ekspozycji w roku zakończenia realizacji programu (µg/m³ lub </w:t>
            </w:r>
            <w:proofErr w:type="spellStart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ng</w:t>
            </w:r>
            <w:proofErr w:type="spellEnd"/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/m³)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Pył zawieszony PM10: 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ZpKolZolkiew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17,86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ZpMyslZaBram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21,52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ZpSwinMatejkMOB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15,27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Stacja ZpSzczec1Maj – 19,39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ZpSzczecPrze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17,62 µg/m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</w:p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Benzo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(a)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piren</w:t>
            </w:r>
            <w:proofErr w:type="spellEnd"/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ZpKolZolkiew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0,1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ZpMyslZaBram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0,96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ZpSwinMatejkMOB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0,11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ZpSzczec1Maj – 0,26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  <w:p w:rsidR="00022178" w:rsidRPr="00156839" w:rsidRDefault="00022254" w:rsidP="00022254">
            <w:pPr>
              <w:rPr>
                <w:sz w:val="18"/>
                <w:szCs w:val="18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ZpSzczecPrze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0,89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ng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/m</w:t>
            </w: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</w:tr>
      <w:tr w:rsidR="00022178" w:rsidRPr="00156839" w:rsidTr="00022254">
        <w:trPr>
          <w:trHeight w:val="842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F34690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13.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Szacunkowa liczba dni, w których zostały przekroczone poziomy dopuszczalne substancji w powietrzu w roku zakończenia programu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254" w:rsidRPr="00156839" w:rsidRDefault="00022254" w:rsidP="00022254">
            <w:pPr>
              <w:spacing w:after="12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Pył zawieszony PM10: 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ZpKolZolkiew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 dni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ZpMyslZaBram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- 7 dni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ZpSwinMatejkMOB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 dni</w:t>
            </w:r>
          </w:p>
          <w:p w:rsidR="00022254" w:rsidRPr="00156839" w:rsidRDefault="00022254" w:rsidP="00022254">
            <w:pPr>
              <w:spacing w:after="0" w:line="240" w:lineRule="auto"/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Stacja ZpSzczec1Maj – 4 dni</w:t>
            </w:r>
          </w:p>
          <w:p w:rsidR="00022178" w:rsidRPr="00156839" w:rsidRDefault="00022254" w:rsidP="00022254">
            <w:pPr>
              <w:rPr>
                <w:sz w:val="18"/>
                <w:szCs w:val="18"/>
              </w:rPr>
            </w:pPr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Stacja </w:t>
            </w:r>
            <w:proofErr w:type="spellStart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>ZpSzczecPrze</w:t>
            </w:r>
            <w:proofErr w:type="spellEnd"/>
            <w:r w:rsidRPr="00156839">
              <w:rPr>
                <w:rFonts w:ascii="Arial" w:eastAsiaTheme="minorHAnsi" w:hAnsi="Arial" w:cs="Arial"/>
                <w:color w:val="auto"/>
                <w:sz w:val="18"/>
                <w:szCs w:val="18"/>
                <w:lang w:eastAsia="en-US"/>
              </w:rPr>
              <w:t xml:space="preserve"> – 2 dni</w:t>
            </w:r>
          </w:p>
        </w:tc>
      </w:tr>
    </w:tbl>
    <w:p w:rsidR="00022178" w:rsidRPr="00156839" w:rsidRDefault="00022178">
      <w:pPr>
        <w:spacing w:after="0"/>
        <w:ind w:left="-680" w:right="141"/>
        <w:rPr>
          <w:sz w:val="18"/>
          <w:szCs w:val="18"/>
        </w:rPr>
      </w:pPr>
    </w:p>
    <w:tbl>
      <w:tblPr>
        <w:tblStyle w:val="TableGrid"/>
        <w:tblW w:w="14307" w:type="dxa"/>
        <w:tblInd w:w="5" w:type="dxa"/>
        <w:tblCellMar>
          <w:top w:w="75" w:type="dxa"/>
          <w:left w:w="56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11907"/>
      </w:tblGrid>
      <w:tr w:rsidR="00022178" w:rsidRPr="00156839" w:rsidTr="00F34690">
        <w:trPr>
          <w:trHeight w:val="477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F34690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14.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Wysokość całkowita poniesionych kosztów (w PLN), </w:t>
            </w: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>źródła finansowania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2D22B0" w:rsidRDefault="00022254">
            <w:pPr>
              <w:spacing w:after="0"/>
              <w:ind w:right="5438"/>
              <w:jc w:val="both"/>
              <w:rPr>
                <w:rFonts w:ascii="DejaVu Sans" w:eastAsia="DejaVu Sans" w:hAnsi="DejaVu Sans" w:cs="DejaVu Sans"/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lastRenderedPageBreak/>
              <w:t xml:space="preserve">Budżet jednostki samorządu terytorialnego 539 777,89 </w:t>
            </w:r>
          </w:p>
          <w:p w:rsidR="00022178" w:rsidRPr="00156839" w:rsidRDefault="00022254">
            <w:pPr>
              <w:spacing w:after="0"/>
              <w:ind w:right="5438"/>
              <w:jc w:val="both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Łącznie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539 777,89</w:t>
            </w:r>
          </w:p>
        </w:tc>
      </w:tr>
      <w:tr w:rsidR="00022178" w:rsidRPr="00156839" w:rsidTr="00F34690">
        <w:trPr>
          <w:trHeight w:val="477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F34690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15.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Wysokość całkowita poniesionych kosztów (w EUR), źródła finansowania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Budżet jednostki samorządu terytorialnego 124 827,23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 xml:space="preserve">Łącznie </w:t>
            </w:r>
            <w:r w:rsidRPr="00156839">
              <w:rPr>
                <w:rFonts w:ascii="DejaVu Sans" w:eastAsia="DejaVu Sans" w:hAnsi="DejaVu Sans" w:cs="DejaVu Sans"/>
                <w:b/>
                <w:sz w:val="18"/>
                <w:szCs w:val="18"/>
              </w:rPr>
              <w:t>124 827,23</w:t>
            </w:r>
          </w:p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przyjęto kurs średni euro (EUR) z dnia 20.03.2024 nr 057/A/NBP/2024 wynoszący 4,3242</w:t>
            </w:r>
          </w:p>
        </w:tc>
      </w:tr>
      <w:tr w:rsidR="00022178" w:rsidRPr="00156839" w:rsidTr="00F34690">
        <w:trPr>
          <w:trHeight w:val="355"/>
        </w:trPr>
        <w:tc>
          <w:tcPr>
            <w:tcW w:w="55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 w:rsidP="00F34690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16.</w:t>
            </w:r>
          </w:p>
        </w:tc>
        <w:tc>
          <w:tcPr>
            <w:tcW w:w="1843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CCCCCC"/>
          </w:tcPr>
          <w:p w:rsidR="00022178" w:rsidRPr="00156839" w:rsidRDefault="00022254">
            <w:pPr>
              <w:spacing w:after="0"/>
              <w:rPr>
                <w:sz w:val="18"/>
                <w:szCs w:val="18"/>
              </w:rPr>
            </w:pPr>
            <w:r w:rsidRPr="00156839">
              <w:rPr>
                <w:rFonts w:ascii="DejaVu Sans" w:eastAsia="DejaVu Sans" w:hAnsi="DejaVu Sans" w:cs="DejaVu Sans"/>
                <w:sz w:val="18"/>
                <w:szCs w:val="18"/>
              </w:rPr>
              <w:t>Uwagi</w:t>
            </w:r>
          </w:p>
        </w:tc>
        <w:tc>
          <w:tcPr>
            <w:tcW w:w="11907" w:type="dxa"/>
            <w:tcBorders>
              <w:top w:val="single" w:sz="4" w:space="0" w:color="555555"/>
              <w:left w:val="single" w:sz="4" w:space="0" w:color="555555"/>
              <w:bottom w:val="single" w:sz="4" w:space="0" w:color="555555"/>
              <w:right w:val="single" w:sz="4" w:space="0" w:color="555555"/>
            </w:tcBorders>
            <w:shd w:val="clear" w:color="auto" w:fill="FFFFFF"/>
          </w:tcPr>
          <w:p w:rsidR="00022178" w:rsidRPr="00156839" w:rsidRDefault="00022178">
            <w:pPr>
              <w:rPr>
                <w:sz w:val="18"/>
                <w:szCs w:val="18"/>
              </w:rPr>
            </w:pPr>
          </w:p>
        </w:tc>
      </w:tr>
    </w:tbl>
    <w:p w:rsidR="00022254" w:rsidRDefault="00022254"/>
    <w:sectPr w:rsidR="00022254" w:rsidSect="00022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680" w:right="912" w:bottom="1071" w:left="996" w:header="487" w:footer="34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E94" w:rsidRDefault="00765E94">
      <w:pPr>
        <w:spacing w:after="0" w:line="240" w:lineRule="auto"/>
      </w:pPr>
      <w:r>
        <w:separator/>
      </w:r>
    </w:p>
  </w:endnote>
  <w:endnote w:type="continuationSeparator" w:id="0">
    <w:p w:rsidR="00765E94" w:rsidRDefault="00765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DejaVu Serif">
    <w:panose1 w:val="02060603050605020204"/>
    <w:charset w:val="EE"/>
    <w:family w:val="roman"/>
    <w:pitch w:val="variable"/>
    <w:sig w:usb0="E50006FF" w:usb1="5200F9FB" w:usb2="0A04002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254" w:rsidRDefault="00022254">
    <w:pPr>
      <w:spacing w:after="0"/>
      <w:ind w:left="117"/>
    </w:pPr>
    <w:r>
      <w:rPr>
        <w:rFonts w:ascii="DejaVu Serif" w:eastAsia="DejaVu Serif" w:hAnsi="DejaVu Serif" w:cs="DejaVu Serif"/>
        <w:sz w:val="1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DejaVu Serif" w:eastAsia="DejaVu Serif" w:hAnsi="DejaVu Serif" w:cs="DejaVu Serif"/>
        <w:sz w:val="12"/>
      </w:rPr>
      <w:t>1</w:t>
    </w:r>
    <w:r>
      <w:rPr>
        <w:rFonts w:ascii="DejaVu Serif" w:eastAsia="DejaVu Serif" w:hAnsi="DejaVu Serif" w:cs="DejaVu Serif"/>
        <w:sz w:val="12"/>
      </w:rPr>
      <w:fldChar w:fldCharType="end"/>
    </w:r>
    <w:r>
      <w:rPr>
        <w:rFonts w:ascii="DejaVu Serif" w:eastAsia="DejaVu Serif" w:hAnsi="DejaVu Serif" w:cs="DejaVu Serif"/>
        <w:sz w:val="12"/>
      </w:rPr>
      <w:t xml:space="preserve"> z </w:t>
    </w:r>
    <w:fldSimple w:instr=" NUMPAGES   \* MERGEFORMAT ">
      <w:r>
        <w:rPr>
          <w:rFonts w:ascii="DejaVu Serif" w:eastAsia="DejaVu Serif" w:hAnsi="DejaVu Serif" w:cs="DejaVu Serif"/>
          <w:sz w:val="12"/>
        </w:rPr>
        <w:t>4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254" w:rsidRDefault="00022254">
    <w:pPr>
      <w:spacing w:after="0"/>
      <w:ind w:left="117"/>
    </w:pPr>
    <w:r>
      <w:rPr>
        <w:rFonts w:ascii="DejaVu Serif" w:eastAsia="DejaVu Serif" w:hAnsi="DejaVu Serif" w:cs="DejaVu Serif"/>
        <w:sz w:val="1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DejaVu Serif" w:eastAsia="DejaVu Serif" w:hAnsi="DejaVu Serif" w:cs="DejaVu Serif"/>
        <w:sz w:val="12"/>
      </w:rPr>
      <w:t>1</w:t>
    </w:r>
    <w:r>
      <w:rPr>
        <w:rFonts w:ascii="DejaVu Serif" w:eastAsia="DejaVu Serif" w:hAnsi="DejaVu Serif" w:cs="DejaVu Serif"/>
        <w:sz w:val="12"/>
      </w:rPr>
      <w:fldChar w:fldCharType="end"/>
    </w:r>
    <w:r>
      <w:rPr>
        <w:rFonts w:ascii="DejaVu Serif" w:eastAsia="DejaVu Serif" w:hAnsi="DejaVu Serif" w:cs="DejaVu Serif"/>
        <w:sz w:val="12"/>
      </w:rPr>
      <w:t xml:space="preserve"> z </w:t>
    </w:r>
    <w:fldSimple w:instr=" NUMPAGES   \* MERGEFORMAT ">
      <w:r>
        <w:rPr>
          <w:rFonts w:ascii="DejaVu Serif" w:eastAsia="DejaVu Serif" w:hAnsi="DejaVu Serif" w:cs="DejaVu Serif"/>
          <w:sz w:val="12"/>
        </w:rPr>
        <w:t>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254" w:rsidRDefault="00022254">
    <w:pPr>
      <w:spacing w:after="0"/>
      <w:ind w:left="117"/>
    </w:pPr>
    <w:r>
      <w:rPr>
        <w:rFonts w:ascii="DejaVu Serif" w:eastAsia="DejaVu Serif" w:hAnsi="DejaVu Serif" w:cs="DejaVu Serif"/>
        <w:sz w:val="12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DejaVu Serif" w:eastAsia="DejaVu Serif" w:hAnsi="DejaVu Serif" w:cs="DejaVu Serif"/>
        <w:sz w:val="12"/>
      </w:rPr>
      <w:t>1</w:t>
    </w:r>
    <w:r>
      <w:rPr>
        <w:rFonts w:ascii="DejaVu Serif" w:eastAsia="DejaVu Serif" w:hAnsi="DejaVu Serif" w:cs="DejaVu Serif"/>
        <w:sz w:val="12"/>
      </w:rPr>
      <w:fldChar w:fldCharType="end"/>
    </w:r>
    <w:r>
      <w:rPr>
        <w:rFonts w:ascii="DejaVu Serif" w:eastAsia="DejaVu Serif" w:hAnsi="DejaVu Serif" w:cs="DejaVu Serif"/>
        <w:sz w:val="12"/>
      </w:rPr>
      <w:t xml:space="preserve"> z </w:t>
    </w:r>
    <w:fldSimple w:instr=" NUMPAGES   \* MERGEFORMAT ">
      <w:r>
        <w:rPr>
          <w:rFonts w:ascii="DejaVu Serif" w:eastAsia="DejaVu Serif" w:hAnsi="DejaVu Serif" w:cs="DejaVu Serif"/>
          <w:sz w:val="12"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E94" w:rsidRDefault="00765E94">
      <w:pPr>
        <w:spacing w:after="0" w:line="240" w:lineRule="auto"/>
      </w:pPr>
      <w:r>
        <w:separator/>
      </w:r>
    </w:p>
  </w:footnote>
  <w:footnote w:type="continuationSeparator" w:id="0">
    <w:p w:rsidR="00765E94" w:rsidRDefault="00765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254" w:rsidRDefault="00022254">
    <w:pPr>
      <w:spacing w:after="0"/>
    </w:pPr>
    <w:r>
      <w:rPr>
        <w:rFonts w:ascii="DejaVu Serif" w:eastAsia="DejaVu Serif" w:hAnsi="DejaVu Serif" w:cs="DejaVu Serif"/>
        <w:sz w:val="14"/>
      </w:rPr>
      <w:t>Dokument utworzony 20 marca 2024 12:16:09 CET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254" w:rsidRDefault="00022254">
    <w:pPr>
      <w:spacing w:after="0"/>
    </w:pPr>
    <w:r>
      <w:rPr>
        <w:rFonts w:ascii="DejaVu Serif" w:eastAsia="DejaVu Serif" w:hAnsi="DejaVu Serif" w:cs="DejaVu Serif"/>
        <w:sz w:val="14"/>
      </w:rPr>
      <w:t>Dokument utworzony 20 marca 2024 12:16:09 CET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254" w:rsidRDefault="00022254">
    <w:pPr>
      <w:spacing w:after="0"/>
    </w:pPr>
    <w:r>
      <w:rPr>
        <w:rFonts w:ascii="DejaVu Serif" w:eastAsia="DejaVu Serif" w:hAnsi="DejaVu Serif" w:cs="DejaVu Serif"/>
        <w:sz w:val="14"/>
      </w:rPr>
      <w:t>Dokument utworzony 20 marca 2024 12:16:09 CET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5752"/>
    <w:multiLevelType w:val="hybridMultilevel"/>
    <w:tmpl w:val="631A6D98"/>
    <w:lvl w:ilvl="0" w:tplc="E6BC4AE0">
      <w:start w:val="1"/>
      <w:numFmt w:val="bullet"/>
      <w:lvlText w:val="-"/>
      <w:lvlJc w:val="left"/>
      <w:pPr>
        <w:ind w:left="62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024A3F9C">
      <w:start w:val="1"/>
      <w:numFmt w:val="bullet"/>
      <w:lvlText w:val="o"/>
      <w:lvlJc w:val="left"/>
      <w:pPr>
        <w:ind w:left="11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D7B00648">
      <w:start w:val="1"/>
      <w:numFmt w:val="bullet"/>
      <w:lvlText w:val="▪"/>
      <w:lvlJc w:val="left"/>
      <w:pPr>
        <w:ind w:left="18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45506674">
      <w:start w:val="1"/>
      <w:numFmt w:val="bullet"/>
      <w:lvlText w:val="•"/>
      <w:lvlJc w:val="left"/>
      <w:pPr>
        <w:ind w:left="25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C72C74A4">
      <w:start w:val="1"/>
      <w:numFmt w:val="bullet"/>
      <w:lvlText w:val="o"/>
      <w:lvlJc w:val="left"/>
      <w:pPr>
        <w:ind w:left="329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2F80ACC4">
      <w:start w:val="1"/>
      <w:numFmt w:val="bullet"/>
      <w:lvlText w:val="▪"/>
      <w:lvlJc w:val="left"/>
      <w:pPr>
        <w:ind w:left="40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606C79E0">
      <w:start w:val="1"/>
      <w:numFmt w:val="bullet"/>
      <w:lvlText w:val="•"/>
      <w:lvlJc w:val="left"/>
      <w:pPr>
        <w:ind w:left="47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14CE7084">
      <w:start w:val="1"/>
      <w:numFmt w:val="bullet"/>
      <w:lvlText w:val="o"/>
      <w:lvlJc w:val="left"/>
      <w:pPr>
        <w:ind w:left="54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DC6A65BC">
      <w:start w:val="1"/>
      <w:numFmt w:val="bullet"/>
      <w:lvlText w:val="▪"/>
      <w:lvlJc w:val="left"/>
      <w:pPr>
        <w:ind w:left="61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B803B7"/>
    <w:multiLevelType w:val="hybridMultilevel"/>
    <w:tmpl w:val="5D2CE740"/>
    <w:lvl w:ilvl="0" w:tplc="329C1AE2">
      <w:start w:val="1"/>
      <w:numFmt w:val="bullet"/>
      <w:lvlText w:val="•"/>
      <w:lvlJc w:val="left"/>
      <w:pPr>
        <w:ind w:left="83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C82E0F6C">
      <w:start w:val="1"/>
      <w:numFmt w:val="bullet"/>
      <w:lvlText w:val="o"/>
      <w:lvlJc w:val="left"/>
      <w:pPr>
        <w:ind w:left="11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23D2B64C">
      <w:start w:val="1"/>
      <w:numFmt w:val="bullet"/>
      <w:lvlText w:val="▪"/>
      <w:lvlJc w:val="left"/>
      <w:pPr>
        <w:ind w:left="18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0C2E8E38">
      <w:start w:val="1"/>
      <w:numFmt w:val="bullet"/>
      <w:lvlText w:val="•"/>
      <w:lvlJc w:val="left"/>
      <w:pPr>
        <w:ind w:left="25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905472D6">
      <w:start w:val="1"/>
      <w:numFmt w:val="bullet"/>
      <w:lvlText w:val="o"/>
      <w:lvlJc w:val="left"/>
      <w:pPr>
        <w:ind w:left="329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F77AA994">
      <w:start w:val="1"/>
      <w:numFmt w:val="bullet"/>
      <w:lvlText w:val="▪"/>
      <w:lvlJc w:val="left"/>
      <w:pPr>
        <w:ind w:left="40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35B025C8">
      <w:start w:val="1"/>
      <w:numFmt w:val="bullet"/>
      <w:lvlText w:val="•"/>
      <w:lvlJc w:val="left"/>
      <w:pPr>
        <w:ind w:left="47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AF4EDF90">
      <w:start w:val="1"/>
      <w:numFmt w:val="bullet"/>
      <w:lvlText w:val="o"/>
      <w:lvlJc w:val="left"/>
      <w:pPr>
        <w:ind w:left="54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20A24F34">
      <w:start w:val="1"/>
      <w:numFmt w:val="bullet"/>
      <w:lvlText w:val="▪"/>
      <w:lvlJc w:val="left"/>
      <w:pPr>
        <w:ind w:left="61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0B6696"/>
    <w:multiLevelType w:val="hybridMultilevel"/>
    <w:tmpl w:val="C5D4F628"/>
    <w:lvl w:ilvl="0" w:tplc="E1AC3832">
      <w:start w:val="1"/>
      <w:numFmt w:val="bullet"/>
      <w:lvlText w:val="-"/>
      <w:lvlJc w:val="left"/>
      <w:pPr>
        <w:ind w:left="62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1F123BC0">
      <w:start w:val="1"/>
      <w:numFmt w:val="bullet"/>
      <w:lvlText w:val="o"/>
      <w:lvlJc w:val="left"/>
      <w:pPr>
        <w:ind w:left="11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A6AA4222">
      <w:start w:val="1"/>
      <w:numFmt w:val="bullet"/>
      <w:lvlText w:val="▪"/>
      <w:lvlJc w:val="left"/>
      <w:pPr>
        <w:ind w:left="18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7702E1B0">
      <w:start w:val="1"/>
      <w:numFmt w:val="bullet"/>
      <w:lvlText w:val="•"/>
      <w:lvlJc w:val="left"/>
      <w:pPr>
        <w:ind w:left="25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A76C8506">
      <w:start w:val="1"/>
      <w:numFmt w:val="bullet"/>
      <w:lvlText w:val="o"/>
      <w:lvlJc w:val="left"/>
      <w:pPr>
        <w:ind w:left="329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A7CA9FBC">
      <w:start w:val="1"/>
      <w:numFmt w:val="bullet"/>
      <w:lvlText w:val="▪"/>
      <w:lvlJc w:val="left"/>
      <w:pPr>
        <w:ind w:left="40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87B0109E">
      <w:start w:val="1"/>
      <w:numFmt w:val="bullet"/>
      <w:lvlText w:val="•"/>
      <w:lvlJc w:val="left"/>
      <w:pPr>
        <w:ind w:left="47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D86079EE">
      <w:start w:val="1"/>
      <w:numFmt w:val="bullet"/>
      <w:lvlText w:val="o"/>
      <w:lvlJc w:val="left"/>
      <w:pPr>
        <w:ind w:left="54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432EC832">
      <w:start w:val="1"/>
      <w:numFmt w:val="bullet"/>
      <w:lvlText w:val="▪"/>
      <w:lvlJc w:val="left"/>
      <w:pPr>
        <w:ind w:left="61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5722A2"/>
    <w:multiLevelType w:val="hybridMultilevel"/>
    <w:tmpl w:val="9AD67552"/>
    <w:lvl w:ilvl="0" w:tplc="33AA778C">
      <w:start w:val="1"/>
      <w:numFmt w:val="bullet"/>
      <w:lvlText w:val="-"/>
      <w:lvlJc w:val="left"/>
      <w:pPr>
        <w:ind w:left="62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D870C7D2">
      <w:start w:val="1"/>
      <w:numFmt w:val="bullet"/>
      <w:lvlText w:val="o"/>
      <w:lvlJc w:val="left"/>
      <w:pPr>
        <w:ind w:left="11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73C0F974">
      <w:start w:val="1"/>
      <w:numFmt w:val="bullet"/>
      <w:lvlText w:val="▪"/>
      <w:lvlJc w:val="left"/>
      <w:pPr>
        <w:ind w:left="18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9AD8D8BE">
      <w:start w:val="1"/>
      <w:numFmt w:val="bullet"/>
      <w:lvlText w:val="•"/>
      <w:lvlJc w:val="left"/>
      <w:pPr>
        <w:ind w:left="25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684A7EB6">
      <w:start w:val="1"/>
      <w:numFmt w:val="bullet"/>
      <w:lvlText w:val="o"/>
      <w:lvlJc w:val="left"/>
      <w:pPr>
        <w:ind w:left="329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6EE82714">
      <w:start w:val="1"/>
      <w:numFmt w:val="bullet"/>
      <w:lvlText w:val="▪"/>
      <w:lvlJc w:val="left"/>
      <w:pPr>
        <w:ind w:left="40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78782030">
      <w:start w:val="1"/>
      <w:numFmt w:val="bullet"/>
      <w:lvlText w:val="•"/>
      <w:lvlJc w:val="left"/>
      <w:pPr>
        <w:ind w:left="47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2220AA04">
      <w:start w:val="1"/>
      <w:numFmt w:val="bullet"/>
      <w:lvlText w:val="o"/>
      <w:lvlJc w:val="left"/>
      <w:pPr>
        <w:ind w:left="54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FE128C6E">
      <w:start w:val="1"/>
      <w:numFmt w:val="bullet"/>
      <w:lvlText w:val="▪"/>
      <w:lvlJc w:val="left"/>
      <w:pPr>
        <w:ind w:left="61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3235DFC"/>
    <w:multiLevelType w:val="hybridMultilevel"/>
    <w:tmpl w:val="94948BFE"/>
    <w:lvl w:ilvl="0" w:tplc="28CCA812">
      <w:start w:val="1"/>
      <w:numFmt w:val="bullet"/>
      <w:lvlText w:val="•"/>
      <w:lvlJc w:val="left"/>
      <w:pPr>
        <w:ind w:left="83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33628EB2">
      <w:start w:val="1"/>
      <w:numFmt w:val="bullet"/>
      <w:lvlText w:val="o"/>
      <w:lvlJc w:val="left"/>
      <w:pPr>
        <w:ind w:left="11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AC2CABF4">
      <w:start w:val="1"/>
      <w:numFmt w:val="bullet"/>
      <w:lvlText w:val="▪"/>
      <w:lvlJc w:val="left"/>
      <w:pPr>
        <w:ind w:left="18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3B0EE67C">
      <w:start w:val="1"/>
      <w:numFmt w:val="bullet"/>
      <w:lvlText w:val="•"/>
      <w:lvlJc w:val="left"/>
      <w:pPr>
        <w:ind w:left="25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BFBE9812">
      <w:start w:val="1"/>
      <w:numFmt w:val="bullet"/>
      <w:lvlText w:val="o"/>
      <w:lvlJc w:val="left"/>
      <w:pPr>
        <w:ind w:left="329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7372770A">
      <w:start w:val="1"/>
      <w:numFmt w:val="bullet"/>
      <w:lvlText w:val="▪"/>
      <w:lvlJc w:val="left"/>
      <w:pPr>
        <w:ind w:left="40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35F0C860">
      <w:start w:val="1"/>
      <w:numFmt w:val="bullet"/>
      <w:lvlText w:val="•"/>
      <w:lvlJc w:val="left"/>
      <w:pPr>
        <w:ind w:left="47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81C854DE">
      <w:start w:val="1"/>
      <w:numFmt w:val="bullet"/>
      <w:lvlText w:val="o"/>
      <w:lvlJc w:val="left"/>
      <w:pPr>
        <w:ind w:left="54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356001DC">
      <w:start w:val="1"/>
      <w:numFmt w:val="bullet"/>
      <w:lvlText w:val="▪"/>
      <w:lvlJc w:val="left"/>
      <w:pPr>
        <w:ind w:left="61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C785301"/>
    <w:multiLevelType w:val="hybridMultilevel"/>
    <w:tmpl w:val="4688217C"/>
    <w:lvl w:ilvl="0" w:tplc="D2BC0942">
      <w:start w:val="1"/>
      <w:numFmt w:val="bullet"/>
      <w:lvlText w:val="-"/>
      <w:lvlJc w:val="left"/>
      <w:pPr>
        <w:ind w:left="62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894A53CC">
      <w:start w:val="1"/>
      <w:numFmt w:val="bullet"/>
      <w:lvlText w:val="o"/>
      <w:lvlJc w:val="left"/>
      <w:pPr>
        <w:ind w:left="11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4208B6A2">
      <w:start w:val="1"/>
      <w:numFmt w:val="bullet"/>
      <w:lvlText w:val="▪"/>
      <w:lvlJc w:val="left"/>
      <w:pPr>
        <w:ind w:left="18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1DC690B4">
      <w:start w:val="1"/>
      <w:numFmt w:val="bullet"/>
      <w:lvlText w:val="•"/>
      <w:lvlJc w:val="left"/>
      <w:pPr>
        <w:ind w:left="25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CA32543E">
      <w:start w:val="1"/>
      <w:numFmt w:val="bullet"/>
      <w:lvlText w:val="o"/>
      <w:lvlJc w:val="left"/>
      <w:pPr>
        <w:ind w:left="329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5172008A">
      <w:start w:val="1"/>
      <w:numFmt w:val="bullet"/>
      <w:lvlText w:val="▪"/>
      <w:lvlJc w:val="left"/>
      <w:pPr>
        <w:ind w:left="40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2020C374">
      <w:start w:val="1"/>
      <w:numFmt w:val="bullet"/>
      <w:lvlText w:val="•"/>
      <w:lvlJc w:val="left"/>
      <w:pPr>
        <w:ind w:left="47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EBD289A4">
      <w:start w:val="1"/>
      <w:numFmt w:val="bullet"/>
      <w:lvlText w:val="o"/>
      <w:lvlJc w:val="left"/>
      <w:pPr>
        <w:ind w:left="54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F85ED7C8">
      <w:start w:val="1"/>
      <w:numFmt w:val="bullet"/>
      <w:lvlText w:val="▪"/>
      <w:lvlJc w:val="left"/>
      <w:pPr>
        <w:ind w:left="61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7F90494"/>
    <w:multiLevelType w:val="hybridMultilevel"/>
    <w:tmpl w:val="94167658"/>
    <w:lvl w:ilvl="0" w:tplc="8B967CD8">
      <w:start w:val="1"/>
      <w:numFmt w:val="bullet"/>
      <w:lvlText w:val="-"/>
      <w:lvlJc w:val="left"/>
      <w:pPr>
        <w:ind w:left="62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C612537E">
      <w:start w:val="1"/>
      <w:numFmt w:val="bullet"/>
      <w:lvlText w:val="o"/>
      <w:lvlJc w:val="left"/>
      <w:pPr>
        <w:ind w:left="11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973AFB40">
      <w:start w:val="1"/>
      <w:numFmt w:val="bullet"/>
      <w:lvlText w:val="▪"/>
      <w:lvlJc w:val="left"/>
      <w:pPr>
        <w:ind w:left="18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8FDA2E48">
      <w:start w:val="1"/>
      <w:numFmt w:val="bullet"/>
      <w:lvlText w:val="•"/>
      <w:lvlJc w:val="left"/>
      <w:pPr>
        <w:ind w:left="25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D6AC23A8">
      <w:start w:val="1"/>
      <w:numFmt w:val="bullet"/>
      <w:lvlText w:val="o"/>
      <w:lvlJc w:val="left"/>
      <w:pPr>
        <w:ind w:left="329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2AFC679A">
      <w:start w:val="1"/>
      <w:numFmt w:val="bullet"/>
      <w:lvlText w:val="▪"/>
      <w:lvlJc w:val="left"/>
      <w:pPr>
        <w:ind w:left="40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209C8C94">
      <w:start w:val="1"/>
      <w:numFmt w:val="bullet"/>
      <w:lvlText w:val="•"/>
      <w:lvlJc w:val="left"/>
      <w:pPr>
        <w:ind w:left="47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73F62412">
      <w:start w:val="1"/>
      <w:numFmt w:val="bullet"/>
      <w:lvlText w:val="o"/>
      <w:lvlJc w:val="left"/>
      <w:pPr>
        <w:ind w:left="54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116232E0">
      <w:start w:val="1"/>
      <w:numFmt w:val="bullet"/>
      <w:lvlText w:val="▪"/>
      <w:lvlJc w:val="left"/>
      <w:pPr>
        <w:ind w:left="61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8365AE"/>
    <w:multiLevelType w:val="hybridMultilevel"/>
    <w:tmpl w:val="42B8EC82"/>
    <w:lvl w:ilvl="0" w:tplc="CC2671F8">
      <w:start w:val="1"/>
      <w:numFmt w:val="bullet"/>
      <w:lvlText w:val="-"/>
      <w:lvlJc w:val="left"/>
      <w:pPr>
        <w:ind w:left="0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9BBE372E">
      <w:start w:val="1"/>
      <w:numFmt w:val="bullet"/>
      <w:lvlText w:val="o"/>
      <w:lvlJc w:val="left"/>
      <w:pPr>
        <w:ind w:left="11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3A32F456">
      <w:start w:val="1"/>
      <w:numFmt w:val="bullet"/>
      <w:lvlText w:val="▪"/>
      <w:lvlJc w:val="left"/>
      <w:pPr>
        <w:ind w:left="18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0964875E">
      <w:start w:val="1"/>
      <w:numFmt w:val="bullet"/>
      <w:lvlText w:val="•"/>
      <w:lvlJc w:val="left"/>
      <w:pPr>
        <w:ind w:left="25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80CA2D30">
      <w:start w:val="1"/>
      <w:numFmt w:val="bullet"/>
      <w:lvlText w:val="o"/>
      <w:lvlJc w:val="left"/>
      <w:pPr>
        <w:ind w:left="329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0D74927A">
      <w:start w:val="1"/>
      <w:numFmt w:val="bullet"/>
      <w:lvlText w:val="▪"/>
      <w:lvlJc w:val="left"/>
      <w:pPr>
        <w:ind w:left="40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DC88DC7A">
      <w:start w:val="1"/>
      <w:numFmt w:val="bullet"/>
      <w:lvlText w:val="•"/>
      <w:lvlJc w:val="left"/>
      <w:pPr>
        <w:ind w:left="47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EA986682">
      <w:start w:val="1"/>
      <w:numFmt w:val="bullet"/>
      <w:lvlText w:val="o"/>
      <w:lvlJc w:val="left"/>
      <w:pPr>
        <w:ind w:left="54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27DED11E">
      <w:start w:val="1"/>
      <w:numFmt w:val="bullet"/>
      <w:lvlText w:val="▪"/>
      <w:lvlJc w:val="left"/>
      <w:pPr>
        <w:ind w:left="61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763084"/>
    <w:multiLevelType w:val="hybridMultilevel"/>
    <w:tmpl w:val="F32C8956"/>
    <w:lvl w:ilvl="0" w:tplc="454AB350">
      <w:start w:val="1"/>
      <w:numFmt w:val="decimal"/>
      <w:lvlText w:val="%1."/>
      <w:lvlJc w:val="left"/>
      <w:pPr>
        <w:ind w:left="174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73EEFD48">
      <w:start w:val="1"/>
      <w:numFmt w:val="lowerLetter"/>
      <w:lvlText w:val="%2"/>
      <w:lvlJc w:val="left"/>
      <w:pPr>
        <w:ind w:left="11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7CF2AFD0">
      <w:start w:val="1"/>
      <w:numFmt w:val="lowerRoman"/>
      <w:lvlText w:val="%3"/>
      <w:lvlJc w:val="left"/>
      <w:pPr>
        <w:ind w:left="18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6478ADCC">
      <w:start w:val="1"/>
      <w:numFmt w:val="decimal"/>
      <w:lvlText w:val="%4"/>
      <w:lvlJc w:val="left"/>
      <w:pPr>
        <w:ind w:left="25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F6E09102">
      <w:start w:val="1"/>
      <w:numFmt w:val="lowerLetter"/>
      <w:lvlText w:val="%5"/>
      <w:lvlJc w:val="left"/>
      <w:pPr>
        <w:ind w:left="329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A536A80C">
      <w:start w:val="1"/>
      <w:numFmt w:val="lowerRoman"/>
      <w:lvlText w:val="%6"/>
      <w:lvlJc w:val="left"/>
      <w:pPr>
        <w:ind w:left="40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3D624634">
      <w:start w:val="1"/>
      <w:numFmt w:val="decimal"/>
      <w:lvlText w:val="%7"/>
      <w:lvlJc w:val="left"/>
      <w:pPr>
        <w:ind w:left="47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9B3E1E00">
      <w:start w:val="1"/>
      <w:numFmt w:val="lowerLetter"/>
      <w:lvlText w:val="%8"/>
      <w:lvlJc w:val="left"/>
      <w:pPr>
        <w:ind w:left="54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5A6AFC8C">
      <w:start w:val="1"/>
      <w:numFmt w:val="lowerRoman"/>
      <w:lvlText w:val="%9"/>
      <w:lvlJc w:val="left"/>
      <w:pPr>
        <w:ind w:left="61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15E78F1"/>
    <w:multiLevelType w:val="hybridMultilevel"/>
    <w:tmpl w:val="30DE36A0"/>
    <w:lvl w:ilvl="0" w:tplc="FA982F14">
      <w:start w:val="1"/>
      <w:numFmt w:val="decimal"/>
      <w:lvlText w:val="%1."/>
      <w:lvlJc w:val="left"/>
      <w:pPr>
        <w:ind w:left="1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7AB62ABC">
      <w:start w:val="1"/>
      <w:numFmt w:val="lowerLetter"/>
      <w:lvlText w:val="%2"/>
      <w:lvlJc w:val="left"/>
      <w:pPr>
        <w:ind w:left="11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EEA4929E">
      <w:start w:val="1"/>
      <w:numFmt w:val="lowerRoman"/>
      <w:lvlText w:val="%3"/>
      <w:lvlJc w:val="left"/>
      <w:pPr>
        <w:ind w:left="18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42EE0C74">
      <w:start w:val="1"/>
      <w:numFmt w:val="decimal"/>
      <w:lvlText w:val="%4"/>
      <w:lvlJc w:val="left"/>
      <w:pPr>
        <w:ind w:left="25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2C60CFF6">
      <w:start w:val="1"/>
      <w:numFmt w:val="lowerLetter"/>
      <w:lvlText w:val="%5"/>
      <w:lvlJc w:val="left"/>
      <w:pPr>
        <w:ind w:left="329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CD7245EA">
      <w:start w:val="1"/>
      <w:numFmt w:val="lowerRoman"/>
      <w:lvlText w:val="%6"/>
      <w:lvlJc w:val="left"/>
      <w:pPr>
        <w:ind w:left="401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B2B2DC84">
      <w:start w:val="1"/>
      <w:numFmt w:val="decimal"/>
      <w:lvlText w:val="%7"/>
      <w:lvlJc w:val="left"/>
      <w:pPr>
        <w:ind w:left="473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4284214E">
      <w:start w:val="1"/>
      <w:numFmt w:val="lowerLetter"/>
      <w:lvlText w:val="%8"/>
      <w:lvlJc w:val="left"/>
      <w:pPr>
        <w:ind w:left="545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F5DC9DBA">
      <w:start w:val="1"/>
      <w:numFmt w:val="lowerRoman"/>
      <w:lvlText w:val="%9"/>
      <w:lvlJc w:val="left"/>
      <w:pPr>
        <w:ind w:left="6176"/>
      </w:pPr>
      <w:rPr>
        <w:rFonts w:ascii="DejaVu Sans" w:eastAsia="DejaVu Sans" w:hAnsi="DejaVu Sans" w:cs="DejaVu Sans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178"/>
    <w:rsid w:val="00022178"/>
    <w:rsid w:val="00022254"/>
    <w:rsid w:val="00156839"/>
    <w:rsid w:val="002D22B0"/>
    <w:rsid w:val="00765E94"/>
    <w:rsid w:val="00D01CCE"/>
    <w:rsid w:val="00F3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17EBB"/>
  <w15:docId w15:val="{17067E9B-29B1-4969-96FF-BF1189BB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2558</Words>
  <Characters>15350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zbiorcze za lata 2020-2023</vt:lpstr>
    </vt:vector>
  </TitlesOfParts>
  <Company>Urzad Marszalkowski Wojewodztwa Zachodniopomorskiego</Company>
  <LinksUpToDate>false</LinksUpToDate>
  <CharactersWithSpaces>17873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zbiorcze za lata 2020-2023</dc:title>
  <dc:subject/>
  <dc:creator>Tybuchowicz  Aneta (GOŚĆ)</dc:creator>
  <cp:keywords/>
  <cp:lastModifiedBy>Tybuchowicz  Aneta (GOŚĆ)</cp:lastModifiedBy>
  <cp:revision>5</cp:revision>
  <dcterms:created xsi:type="dcterms:W3CDTF">2024-03-20T11:28:00Z</dcterms:created>
  <dcterms:modified xsi:type="dcterms:W3CDTF">2024-03-20T11:35:00Z</dcterms:modified>
</cp:coreProperties>
</file>